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color w:val="002060"/>
          <w:sz w:val="40"/>
          <w:szCs w:val="40"/>
        </w:rPr>
      </w:pPr>
      <w:r w:rsidDel="00000000" w:rsidR="00000000" w:rsidRPr="00000000">
        <w:rPr>
          <w:b w:val="1"/>
          <w:bCs w:val="1"/>
          <w:color w:val="002060"/>
          <w:sz w:val="40"/>
          <w:szCs w:val="40"/>
          <w:rtl w:val="0"/>
        </w:rPr>
        <w:t xml:space="preserve">REPORTE DE TASA DE DESERCIÓN DE LA CARRERA</w:t>
      </w:r>
    </w:p>
    <w:p w:rsidR="00000000" w:rsidDel="00000000" w:rsidP="00000000" w:rsidRDefault="00000000" w:rsidRPr="00000000" w14:paraId="00000002">
      <w:pPr>
        <w:spacing w:after="0" w:lineRule="auto"/>
        <w:rPr>
          <w:b w:val="1"/>
          <w:bCs w:val="1"/>
          <w:sz w:val="12"/>
          <w:szCs w:val="12"/>
        </w:rPr>
      </w:pPr>
      <w:r w:rsidDel="00000000" w:rsidR="00000000" w:rsidRPr="00000000">
        <w:rPr>
          <w:rtl w:val="0"/>
        </w:rPr>
      </w:r>
    </w:p>
    <w:tbl>
      <w:tblPr>
        <w:tblStyle w:val="Table1"/>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72"/>
        <w:gridCol w:w="3394"/>
        <w:gridCol w:w="1700"/>
        <w:gridCol w:w="2370"/>
        <w:tblGridChange w:id="0">
          <w:tblGrid>
            <w:gridCol w:w="2272"/>
            <w:gridCol w:w="3394"/>
            <w:gridCol w:w="1700"/>
            <w:gridCol w:w="2370"/>
          </w:tblGrid>
        </w:tblGridChange>
      </w:tblGrid>
      <w:tr>
        <w:trPr>
          <w:cantSplit w:val="0"/>
          <w:trHeight w:val="680" w:hRule="atLeast"/>
          <w:tblHeader w:val="0"/>
        </w:trPr>
        <w:tc>
          <w:tcPr>
            <w:vAlign w:val="center"/>
          </w:tcPr>
          <w:p w:rsidR="00000000" w:rsidDel="00000000" w:rsidP="00000000" w:rsidRDefault="00000000" w:rsidRPr="00000000" w14:paraId="00000003">
            <w:pPr>
              <w:rPr>
                <w:b w:val="1"/>
                <w:bCs w:val="1"/>
                <w:sz w:val="24"/>
                <w:szCs w:val="24"/>
              </w:rPr>
            </w:pPr>
            <w:r w:rsidDel="00000000" w:rsidR="00000000" w:rsidRPr="00000000">
              <w:rPr>
                <w:b w:val="1"/>
                <w:bCs w:val="1"/>
                <w:sz w:val="24"/>
                <w:szCs w:val="24"/>
                <w:rtl w:val="0"/>
              </w:rPr>
              <w:t xml:space="preserve">Facultad:</w:t>
            </w:r>
          </w:p>
        </w:tc>
        <w:tc>
          <w:tcPr>
            <w:gridSpan w:val="3"/>
            <w:vAlign w:val="center"/>
          </w:tcPr>
          <w:p w:rsidR="00000000" w:rsidDel="00000000" w:rsidP="00000000" w:rsidRDefault="00000000" w:rsidRPr="00000000" w14:paraId="00000004">
            <w:pPr>
              <w:rPr>
                <w:sz w:val="24"/>
                <w:szCs w:val="24"/>
              </w:rPr>
            </w:pPr>
            <w:r w:rsidDel="00000000" w:rsidR="00000000" w:rsidRPr="00000000">
              <w:rPr>
                <w:rtl w:val="0"/>
              </w:rPr>
            </w:r>
          </w:p>
        </w:tc>
      </w:tr>
      <w:tr>
        <w:trPr>
          <w:cantSplit w:val="0"/>
          <w:trHeight w:val="680" w:hRule="atLeast"/>
          <w:tblHeader w:val="0"/>
        </w:trPr>
        <w:tc>
          <w:tcPr>
            <w:vAlign w:val="center"/>
          </w:tcPr>
          <w:p w:rsidR="00000000" w:rsidDel="00000000" w:rsidP="00000000" w:rsidRDefault="00000000" w:rsidRPr="00000000" w14:paraId="00000007">
            <w:pPr>
              <w:rPr>
                <w:b w:val="1"/>
                <w:bCs w:val="1"/>
                <w:sz w:val="24"/>
                <w:szCs w:val="24"/>
              </w:rPr>
            </w:pPr>
            <w:r w:rsidDel="00000000" w:rsidR="00000000" w:rsidRPr="00000000">
              <w:rPr>
                <w:b w:val="1"/>
                <w:bCs w:val="1"/>
                <w:sz w:val="24"/>
                <w:szCs w:val="24"/>
                <w:rtl w:val="0"/>
              </w:rPr>
              <w:t xml:space="preserve">Carrera:</w:t>
            </w:r>
          </w:p>
        </w:tc>
        <w:tc>
          <w:tcPr>
            <w:vAlign w:val="center"/>
          </w:tcPr>
          <w:p w:rsidR="00000000" w:rsidDel="00000000" w:rsidP="00000000" w:rsidRDefault="00000000" w:rsidRPr="00000000" w14:paraId="00000008">
            <w:pPr>
              <w:rPr>
                <w:sz w:val="24"/>
                <w:szCs w:val="24"/>
              </w:rPr>
            </w:pPr>
            <w:r w:rsidDel="00000000" w:rsidR="00000000" w:rsidRPr="00000000">
              <w:rPr>
                <w:rtl w:val="0"/>
              </w:rPr>
            </w:r>
          </w:p>
        </w:tc>
        <w:tc>
          <w:tcPr>
            <w:vAlign w:val="center"/>
          </w:tcPr>
          <w:p w:rsidR="00000000" w:rsidDel="00000000" w:rsidP="00000000" w:rsidRDefault="00000000" w:rsidRPr="00000000" w14:paraId="00000009">
            <w:pPr>
              <w:rPr>
                <w:b w:val="1"/>
                <w:bCs w:val="1"/>
                <w:sz w:val="24"/>
                <w:szCs w:val="24"/>
              </w:rPr>
            </w:pPr>
            <w:r w:rsidDel="00000000" w:rsidR="00000000" w:rsidRPr="00000000">
              <w:rPr>
                <w:b w:val="1"/>
                <w:bCs w:val="1"/>
                <w:sz w:val="24"/>
                <w:szCs w:val="24"/>
                <w:rtl w:val="0"/>
              </w:rPr>
              <w:t xml:space="preserve">Modalidad:</w:t>
            </w:r>
          </w:p>
        </w:tc>
        <w:tc>
          <w:tcPr>
            <w:vAlign w:val="center"/>
          </w:tcPr>
          <w:p w:rsidR="00000000" w:rsidDel="00000000" w:rsidP="00000000" w:rsidRDefault="00000000" w:rsidRPr="00000000" w14:paraId="0000000A">
            <w:pPr>
              <w:jc w:val="center"/>
              <w:rPr/>
            </w:pPr>
            <w:r w:rsidDel="00000000" w:rsidR="00000000" w:rsidRPr="00000000">
              <w:rPr>
                <w:rtl w:val="0"/>
              </w:rPr>
            </w:r>
          </w:p>
        </w:tc>
      </w:tr>
      <w:tr>
        <w:trPr>
          <w:cantSplit w:val="0"/>
          <w:trHeight w:val="680" w:hRule="atLeast"/>
          <w:tblHeader w:val="0"/>
        </w:trPr>
        <w:tc>
          <w:tcPr>
            <w:vAlign w:val="center"/>
          </w:tcPr>
          <w:p w:rsidR="00000000" w:rsidDel="00000000" w:rsidP="00000000" w:rsidRDefault="00000000" w:rsidRPr="00000000" w14:paraId="0000000B">
            <w:pPr>
              <w:rPr>
                <w:b w:val="1"/>
                <w:bCs w:val="1"/>
                <w:sz w:val="24"/>
                <w:szCs w:val="24"/>
              </w:rPr>
            </w:pPr>
            <w:r w:rsidDel="00000000" w:rsidR="00000000" w:rsidRPr="00000000">
              <w:rPr>
                <w:b w:val="1"/>
                <w:bCs w:val="1"/>
                <w:sz w:val="24"/>
                <w:szCs w:val="24"/>
                <w:rtl w:val="0"/>
              </w:rPr>
              <w:t xml:space="preserve">Período del Reporte:</w:t>
            </w:r>
          </w:p>
        </w:tc>
        <w:tc>
          <w:tcPr>
            <w:vAlign w:val="center"/>
          </w:tcPr>
          <w:p w:rsidR="00000000" w:rsidDel="00000000" w:rsidP="00000000" w:rsidRDefault="00000000" w:rsidRPr="00000000" w14:paraId="0000000C">
            <w:pPr>
              <w:rPr/>
            </w:pPr>
            <w:r w:rsidDel="00000000" w:rsidR="00000000" w:rsidRPr="00000000">
              <w:rPr>
                <w:rtl w:val="0"/>
              </w:rPr>
            </w:r>
          </w:p>
        </w:tc>
        <w:tc>
          <w:tcPr>
            <w:vAlign w:val="center"/>
          </w:tcPr>
          <w:p w:rsidR="00000000" w:rsidDel="00000000" w:rsidP="00000000" w:rsidRDefault="00000000" w:rsidRPr="00000000" w14:paraId="0000000D">
            <w:pPr>
              <w:rPr>
                <w:b w:val="1"/>
                <w:bCs w:val="1"/>
                <w:sz w:val="24"/>
                <w:szCs w:val="24"/>
              </w:rPr>
            </w:pPr>
            <w:r w:rsidDel="00000000" w:rsidR="00000000" w:rsidRPr="00000000">
              <w:rPr>
                <w:b w:val="1"/>
                <w:bCs w:val="1"/>
                <w:sz w:val="24"/>
                <w:szCs w:val="24"/>
                <w:rtl w:val="0"/>
              </w:rPr>
              <w:t xml:space="preserve">Fecha - Hora de generación: </w:t>
            </w:r>
          </w:p>
        </w:tc>
        <w:tc>
          <w:tcPr>
            <w:vAlign w:val="center"/>
          </w:tcPr>
          <w:p w:rsidR="00000000" w:rsidDel="00000000" w:rsidP="00000000" w:rsidRDefault="00000000" w:rsidRPr="00000000" w14:paraId="0000000E">
            <w:pPr>
              <w:jc w:val="center"/>
              <w:rPr/>
            </w:pPr>
            <w:r w:rsidDel="00000000" w:rsidR="00000000" w:rsidRPr="00000000">
              <w:rPr>
                <w:rtl w:val="0"/>
              </w:rPr>
              <w:t xml:space="preserve">yyyy-mm-dd</w:t>
            </w:r>
          </w:p>
          <w:p w:rsidR="00000000" w:rsidDel="00000000" w:rsidP="00000000" w:rsidRDefault="00000000" w:rsidRPr="00000000" w14:paraId="0000000F">
            <w:pPr>
              <w:jc w:val="center"/>
              <w:rPr/>
            </w:pPr>
            <w:r w:rsidDel="00000000" w:rsidR="00000000" w:rsidRPr="00000000">
              <w:rPr>
                <w:rtl w:val="0"/>
              </w:rPr>
              <w:t xml:space="preserve">hh:mm (a.m / p.m.)</w:t>
            </w:r>
          </w:p>
        </w:tc>
      </w:tr>
      <w:tr>
        <w:trPr>
          <w:cantSplit w:val="0"/>
          <w:trHeight w:val="454" w:hRule="atLeast"/>
          <w:tblHeader w:val="0"/>
        </w:trPr>
        <w:tc>
          <w:tcPr>
            <w:vAlign w:val="center"/>
          </w:tcPr>
          <w:p w:rsidR="00000000" w:rsidDel="00000000" w:rsidP="00000000" w:rsidRDefault="00000000" w:rsidRPr="00000000" w14:paraId="00000010">
            <w:pPr>
              <w:rPr>
                <w:b w:val="1"/>
                <w:bCs w:val="1"/>
                <w:sz w:val="24"/>
                <w:szCs w:val="24"/>
              </w:rPr>
            </w:pPr>
            <w:r w:rsidDel="00000000" w:rsidR="00000000" w:rsidRPr="00000000">
              <w:rPr>
                <w:b w:val="1"/>
                <w:bCs w:val="1"/>
                <w:sz w:val="24"/>
                <w:szCs w:val="24"/>
                <w:rtl w:val="0"/>
              </w:rPr>
              <w:t xml:space="preserve">Definición:</w:t>
            </w:r>
          </w:p>
        </w:tc>
        <w:tc>
          <w:tcPr>
            <w:gridSpan w:val="3"/>
            <w:vAlign w:val="center"/>
          </w:tcPr>
          <w:p w:rsidR="00000000" w:rsidDel="00000000" w:rsidP="00000000" w:rsidRDefault="00000000" w:rsidRPr="00000000" w14:paraId="00000011">
            <w:pPr>
              <w:jc w:val="both"/>
              <w:rPr>
                <w:sz w:val="24"/>
                <w:szCs w:val="24"/>
              </w:rPr>
            </w:pPr>
            <w:r w:rsidDel="00000000" w:rsidR="00000000" w:rsidRPr="00000000">
              <w:rPr>
                <w:sz w:val="24"/>
                <w:szCs w:val="24"/>
                <w:rtl w:val="0"/>
              </w:rPr>
              <w:t xml:space="preserve">La tasa de deserción corresponde al porcentaje de estudiantes matriculados en el primer nivel de la carrera que no continúan sus estudios al menos dos años posteriores a su ingreso.</w:t>
            </w:r>
          </w:p>
          <w:p w:rsidR="00000000" w:rsidDel="00000000" w:rsidP="00000000" w:rsidRDefault="00000000" w:rsidRPr="00000000" w14:paraId="00000012">
            <w:pPr>
              <w:jc w:val="both"/>
              <w:rPr>
                <w:sz w:val="24"/>
                <w:szCs w:val="24"/>
              </w:rPr>
            </w:pPr>
            <w:r w:rsidDel="00000000" w:rsidR="00000000" w:rsidRPr="00000000">
              <w:rPr>
                <w:rtl w:val="0"/>
              </w:rPr>
            </w:r>
          </w:p>
          <w:p w:rsidR="00000000" w:rsidDel="00000000" w:rsidP="00000000" w:rsidRDefault="00000000" w:rsidRPr="00000000" w14:paraId="00000013">
            <w:pPr>
              <w:jc w:val="both"/>
              <w:rPr>
                <w:sz w:val="24"/>
                <w:szCs w:val="24"/>
              </w:rPr>
            </w:pPr>
            <w:r w:rsidDel="00000000" w:rsidR="00000000" w:rsidRPr="00000000">
              <w:rPr>
                <w:sz w:val="24"/>
                <w:szCs w:val="24"/>
                <w:rtl w:val="0"/>
              </w:rPr>
              <w:t xml:space="preserve">Este indicador permite evaluar la capacidad de la carrera para favorecer la permanencia estudiantil y sostener la continuidad académica de los estudiantes durante su proceso formativo, conforme a lo establecido en el modelo CACES-MUEP (2023).</w:t>
            </w:r>
          </w:p>
        </w:tc>
      </w:tr>
    </w:tbl>
    <w:p w:rsidR="00000000" w:rsidDel="00000000" w:rsidP="00000000" w:rsidRDefault="00000000" w:rsidRPr="00000000" w14:paraId="00000016">
      <w:pPr>
        <w:spacing w:after="0" w:line="240" w:lineRule="auto"/>
        <w:rPr>
          <w:sz w:val="24"/>
          <w:szCs w:val="24"/>
        </w:rPr>
      </w:pPr>
      <w:r w:rsidDel="00000000" w:rsidR="00000000" w:rsidRPr="00000000">
        <w:rPr>
          <w:rtl w:val="0"/>
        </w:rPr>
      </w:r>
    </w:p>
    <w:tbl>
      <w:tblPr>
        <w:tblStyle w:val="Table2"/>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rHeight w:val="567" w:hRule="atLeast"/>
          <w:tblHeader w:val="0"/>
        </w:trPr>
        <w:tc>
          <w:tcPr>
            <w:shd w:fill="d0cece" w:val="clear"/>
            <w:vAlign w:val="center"/>
          </w:tcPr>
          <w:p w:rsidR="00000000" w:rsidDel="00000000" w:rsidP="00000000" w:rsidRDefault="00000000" w:rsidRPr="00000000" w14:paraId="00000017">
            <w:pPr>
              <w:rPr>
                <w:b w:val="1"/>
                <w:bCs w:val="1"/>
                <w:sz w:val="28"/>
                <w:szCs w:val="28"/>
              </w:rPr>
            </w:pPr>
            <w:r w:rsidDel="00000000" w:rsidR="00000000" w:rsidRPr="00000000">
              <w:rPr>
                <w:b w:val="1"/>
                <w:bCs w:val="1"/>
                <w:sz w:val="28"/>
                <w:szCs w:val="28"/>
                <w:rtl w:val="0"/>
              </w:rPr>
              <w:t xml:space="preserve">PRESENTACIÓN DEL CÁLCULO:</w:t>
            </w:r>
          </w:p>
        </w:tc>
      </w:tr>
    </w:tbl>
    <w:p w:rsidR="00000000" w:rsidDel="00000000" w:rsidP="00000000" w:rsidRDefault="00000000" w:rsidRPr="00000000" w14:paraId="00000018">
      <w:pPr>
        <w:spacing w:after="0" w:lineRule="auto"/>
        <w:rPr>
          <w:b w:val="1"/>
          <w:bCs w:val="1"/>
          <w:sz w:val="12"/>
          <w:szCs w:val="12"/>
        </w:rPr>
      </w:pPr>
      <w:r w:rsidDel="00000000" w:rsidR="00000000" w:rsidRPr="00000000">
        <w:rPr>
          <w:rtl w:val="0"/>
        </w:rPr>
      </w:r>
    </w:p>
    <w:tbl>
      <w:tblPr>
        <w:tblStyle w:val="Table3"/>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rHeight w:val="454" w:hRule="atLeast"/>
          <w:tblHeader w:val="0"/>
        </w:trPr>
        <w:tc>
          <w:tcPr>
            <w:shd w:fill="9cc2e5" w:val="clear"/>
            <w:vAlign w:val="center"/>
          </w:tcPr>
          <w:p w:rsidR="00000000" w:rsidDel="00000000" w:rsidP="00000000" w:rsidRDefault="00000000" w:rsidRPr="00000000" w14:paraId="00000019">
            <w:pPr>
              <w:rPr>
                <w:b w:val="1"/>
                <w:bCs w:val="1"/>
                <w:sz w:val="24"/>
                <w:szCs w:val="24"/>
              </w:rPr>
            </w:pPr>
            <w:r w:rsidDel="00000000" w:rsidR="00000000" w:rsidRPr="00000000">
              <w:rPr>
                <w:b w:val="1"/>
                <w:bCs w:val="1"/>
                <w:sz w:val="24"/>
                <w:szCs w:val="24"/>
                <w:rtl w:val="0"/>
              </w:rPr>
              <w:t xml:space="preserve">Fórmula:</w:t>
            </w:r>
          </w:p>
        </w:tc>
      </w:tr>
      <w:tr>
        <w:trPr>
          <w:cantSplit w:val="0"/>
          <w:trHeight w:val="1077" w:hRule="atLeast"/>
          <w:tblHeader w:val="0"/>
        </w:trPr>
        <w:tc>
          <w:tcPr/>
          <w:p w:rsidR="00000000" w:rsidDel="00000000" w:rsidP="00000000" w:rsidRDefault="00000000" w:rsidRPr="00000000" w14:paraId="0000001A">
            <w:pPr>
              <w:rPr>
                <w:sz w:val="24"/>
                <w:szCs w:val="24"/>
              </w:rPr>
            </w:pPr>
            <w:r w:rsidDel="00000000" w:rsidR="00000000" w:rsidRPr="00000000">
              <w:rPr>
                <w:sz w:val="24"/>
                <w:szCs w:val="24"/>
                <w:rtl w:val="0"/>
              </w:rPr>
              <w:t xml:space="preserve">Este indicador se calcula mediante la siguiente expresión matemática:</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jc w:val="center"/>
              <w:rPr>
                <w:rFonts w:ascii="Cambria Math" w:cs="Cambria Math" w:eastAsia="Cambria Math" w:hAnsi="Cambria Math"/>
                <w:sz w:val="28"/>
                <w:szCs w:val="28"/>
              </w:rPr>
            </w:pP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TD</m:t>
                  </m:r>
                </m:e>
                <m:sub>
                  <m:r>
                    <w:rPr>
                      <w:rFonts w:ascii="Cambria Math" w:cs="Cambria Math" w:eastAsia="Cambria Math" w:hAnsi="Cambria Math"/>
                      <w:sz w:val="28"/>
                      <w:szCs w:val="28"/>
                    </w:rPr>
                    <m:t>δ</m:t>
                  </m:r>
                </m:sub>
              </m:sSub>
              <m:r>
                <w:rPr>
                  <w:rFonts w:ascii="Cambria Math" w:cs="Cambria Math" w:eastAsia="Cambria Math" w:hAnsi="Cambria Math"/>
                  <w:sz w:val="28"/>
                  <w:szCs w:val="28"/>
                </w:rPr>
                <m:t xml:space="preserve">=100×</m:t>
              </m:r>
              <m:f>
                <m:fPr>
                  <m:ctrlPr>
                    <w:rPr>
                      <w:rFonts w:ascii="Cambria Math" w:cs="Cambria Math" w:eastAsia="Cambria Math" w:hAnsi="Cambria Math"/>
                      <w:sz w:val="28"/>
                      <w:szCs w:val="28"/>
                    </w:rPr>
                  </m:ctrlPr>
                </m:fPr>
                <m:num>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NEG</m:t>
                      </m:r>
                    </m:e>
                    <m:sub>
                      <m:r>
                        <w:rPr>
                          <w:rFonts w:ascii="Cambria Math" w:cs="Cambria Math" w:eastAsia="Cambria Math" w:hAnsi="Cambria Math"/>
                          <w:sz w:val="28"/>
                          <w:szCs w:val="28"/>
                        </w:rPr>
                        <m:t xml:space="preserve">Ai+δ</m:t>
                      </m:r>
                    </m:sub>
                  </m:sSub>
                </m:num>
                <m:den>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NEG</m:t>
                      </m:r>
                    </m:e>
                    <m:sub>
                      <m:r>
                        <w:rPr>
                          <w:rFonts w:ascii="Cambria Math" w:cs="Cambria Math" w:eastAsia="Cambria Math" w:hAnsi="Cambria Math"/>
                          <w:sz w:val="28"/>
                          <w:szCs w:val="28"/>
                        </w:rPr>
                        <m:t xml:space="preserve">Ai</m:t>
                      </m:r>
                    </m:sub>
                  </m:sSub>
                </m:den>
              </m:f>
            </m:oMath>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tc>
      </w:tr>
    </w:tbl>
    <w:p w:rsidR="00000000" w:rsidDel="00000000" w:rsidP="00000000" w:rsidRDefault="00000000" w:rsidRPr="00000000" w14:paraId="0000001E">
      <w:pPr>
        <w:spacing w:after="0" w:line="240" w:lineRule="auto"/>
        <w:rPr>
          <w:sz w:val="24"/>
          <w:szCs w:val="24"/>
        </w:rPr>
      </w:pPr>
      <w:r w:rsidDel="00000000" w:rsidR="00000000" w:rsidRPr="00000000">
        <w:rPr>
          <w:rtl w:val="0"/>
        </w:rPr>
      </w:r>
    </w:p>
    <w:tbl>
      <w:tblPr>
        <w:tblStyle w:val="Table4"/>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898"/>
        <w:tblGridChange w:id="0">
          <w:tblGrid>
            <w:gridCol w:w="1838"/>
            <w:gridCol w:w="7898"/>
          </w:tblGrid>
        </w:tblGridChange>
      </w:tblGrid>
      <w:tr>
        <w:trPr>
          <w:cantSplit w:val="0"/>
          <w:trHeight w:val="454" w:hRule="atLeast"/>
          <w:tblHeader w:val="0"/>
        </w:trPr>
        <w:tc>
          <w:tcPr>
            <w:gridSpan w:val="2"/>
            <w:shd w:fill="9cc2e5" w:val="clear"/>
            <w:vAlign w:val="center"/>
          </w:tcPr>
          <w:p w:rsidR="00000000" w:rsidDel="00000000" w:rsidP="00000000" w:rsidRDefault="00000000" w:rsidRPr="00000000" w14:paraId="0000001F">
            <w:pPr>
              <w:rPr>
                <w:sz w:val="24"/>
                <w:szCs w:val="24"/>
              </w:rPr>
            </w:pPr>
            <w:r w:rsidDel="00000000" w:rsidR="00000000" w:rsidRPr="00000000">
              <w:rPr>
                <w:b w:val="1"/>
                <w:bCs w:val="1"/>
                <w:sz w:val="24"/>
                <w:szCs w:val="24"/>
                <w:rtl w:val="0"/>
              </w:rPr>
              <w:t xml:space="preserve">Descripción de variables:</w:t>
            </w:r>
            <w:r w:rsidDel="00000000" w:rsidR="00000000" w:rsidRPr="00000000">
              <w:rPr>
                <w:rtl w:val="0"/>
              </w:rPr>
            </w:r>
          </w:p>
        </w:tc>
      </w:tr>
      <w:tr>
        <w:trPr>
          <w:cantSplit w:val="0"/>
          <w:trHeight w:val="624" w:hRule="atLeast"/>
          <w:tblHeader w:val="0"/>
        </w:trPr>
        <w:tc>
          <w:tcPr>
            <w:vAlign w:val="center"/>
          </w:tcPr>
          <w:p w:rsidR="00000000" w:rsidDel="00000000" w:rsidP="00000000" w:rsidRDefault="00000000" w:rsidRPr="00000000" w14:paraId="00000021">
            <w:pPr>
              <w:jc w:val="center"/>
              <w:rPr>
                <w:rFonts w:ascii="Cambria Math" w:cs="Cambria Math" w:eastAsia="Cambria Math" w:hAnsi="Cambria Math"/>
                <w:sz w:val="28"/>
                <w:szCs w:val="28"/>
              </w:rPr>
            </w:pP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TD</m:t>
                  </m:r>
                </m:e>
                <m:sub>
                  <m:r>
                    <w:rPr>
                      <w:rFonts w:ascii="Cambria Math" w:cs="Cambria Math" w:eastAsia="Cambria Math" w:hAnsi="Cambria Math"/>
                      <w:sz w:val="28"/>
                      <w:szCs w:val="28"/>
                    </w:rPr>
                    <m:t>δ</m:t>
                  </m:r>
                </m:sub>
              </m:sSub>
            </m:oMath>
            <w:r w:rsidDel="00000000" w:rsidR="00000000" w:rsidRPr="00000000">
              <w:rPr>
                <w:rtl w:val="0"/>
              </w:rPr>
            </w:r>
          </w:p>
        </w:tc>
        <w:tc>
          <w:tcPr>
            <w:vAlign w:val="center"/>
          </w:tcPr>
          <w:p w:rsidR="00000000" w:rsidDel="00000000" w:rsidP="00000000" w:rsidRDefault="00000000" w:rsidRPr="00000000" w14:paraId="00000022">
            <w:pPr>
              <w:jc w:val="both"/>
              <w:rPr>
                <w:sz w:val="24"/>
                <w:szCs w:val="24"/>
              </w:rPr>
            </w:pPr>
            <w:r w:rsidDel="00000000" w:rsidR="00000000" w:rsidRPr="00000000">
              <w:rPr>
                <w:sz w:val="24"/>
                <w:szCs w:val="24"/>
                <w:rtl w:val="0"/>
              </w:rPr>
              <w:t xml:space="preserve">Tasa de deserción a la mitad de la carrera</w:t>
            </w:r>
          </w:p>
        </w:tc>
      </w:tr>
      <w:tr>
        <w:trPr>
          <w:cantSplit w:val="0"/>
          <w:trHeight w:val="624" w:hRule="atLeast"/>
          <w:tblHeader w:val="0"/>
        </w:trPr>
        <w:tc>
          <w:tcPr>
            <w:vAlign w:val="center"/>
          </w:tcPr>
          <w:p w:rsidR="00000000" w:rsidDel="00000000" w:rsidP="00000000" w:rsidRDefault="00000000" w:rsidRPr="00000000" w14:paraId="00000023">
            <w:pPr>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Ai</m:t>
              </m:r>
            </m:oMath>
            <w:r w:rsidDel="00000000" w:rsidR="00000000" w:rsidRPr="00000000">
              <w:rPr>
                <w:rtl w:val="0"/>
              </w:rPr>
            </w:r>
          </w:p>
        </w:tc>
        <w:tc>
          <w:tcPr>
            <w:vAlign w:val="center"/>
          </w:tcPr>
          <w:p w:rsidR="00000000" w:rsidDel="00000000" w:rsidP="00000000" w:rsidRDefault="00000000" w:rsidRPr="00000000" w14:paraId="00000024">
            <w:pPr>
              <w:jc w:val="both"/>
              <w:rPr>
                <w:sz w:val="24"/>
                <w:szCs w:val="24"/>
              </w:rPr>
            </w:pPr>
            <w:r w:rsidDel="00000000" w:rsidR="00000000" w:rsidRPr="00000000">
              <w:rPr>
                <w:sz w:val="24"/>
                <w:szCs w:val="24"/>
                <w:rtl w:val="0"/>
              </w:rPr>
              <w:t xml:space="preserve">Cohorte </w:t>
            </w:r>
            <m:oMath>
              <m:r>
                <w:rPr>
                  <w:rFonts w:ascii="Cambria Math" w:cs="Cambria Math" w:eastAsia="Cambria Math" w:hAnsi="Cambria Math"/>
                  <w:sz w:val="24"/>
                  <w:szCs w:val="24"/>
                </w:rPr>
                <m:t xml:space="preserve">i</m:t>
              </m:r>
            </m:oMath>
            <w:r w:rsidDel="00000000" w:rsidR="00000000" w:rsidRPr="00000000">
              <w:rPr>
                <w:i w:val="1"/>
                <w:iCs w:val="1"/>
                <w:sz w:val="24"/>
                <w:szCs w:val="24"/>
                <w:rtl w:val="0"/>
              </w:rPr>
              <w:t xml:space="preserve">-</w:t>
            </w:r>
            <w:r w:rsidDel="00000000" w:rsidR="00000000" w:rsidRPr="00000000">
              <w:rPr>
                <w:sz w:val="24"/>
                <w:szCs w:val="24"/>
                <w:rtl w:val="0"/>
              </w:rPr>
              <w:t xml:space="preserve">ésima de estudiantes que inician el primer nivel</w:t>
            </w:r>
          </w:p>
        </w:tc>
      </w:tr>
      <w:tr>
        <w:trPr>
          <w:cantSplit w:val="0"/>
          <w:trHeight w:val="624" w:hRule="atLeast"/>
          <w:tblHeader w:val="0"/>
        </w:trPr>
        <w:tc>
          <w:tcPr>
            <w:vAlign w:val="center"/>
          </w:tcPr>
          <w:p w:rsidR="00000000" w:rsidDel="00000000" w:rsidP="00000000" w:rsidRDefault="00000000" w:rsidRPr="00000000" w14:paraId="00000025">
            <w:pPr>
              <w:jc w:val="center"/>
              <w:rPr>
                <w:sz w:val="24"/>
                <w:szCs w:val="24"/>
              </w:rPr>
            </w:pPr>
            <m:oMath>
              <m:r>
                <m:t>δ</m:t>
              </m:r>
            </m:oMath>
            <w:r w:rsidDel="00000000" w:rsidR="00000000" w:rsidRPr="00000000">
              <w:rPr>
                <w:rtl w:val="0"/>
              </w:rPr>
            </w:r>
          </w:p>
        </w:tc>
        <w:tc>
          <w:tcPr>
            <w:vAlign w:val="center"/>
          </w:tcPr>
          <w:p w:rsidR="00000000" w:rsidDel="00000000" w:rsidP="00000000" w:rsidRDefault="00000000" w:rsidRPr="00000000" w14:paraId="00000026">
            <w:pPr>
              <w:jc w:val="both"/>
              <w:rPr>
                <w:sz w:val="24"/>
                <w:szCs w:val="24"/>
              </w:rPr>
            </w:pPr>
            <w:r w:rsidDel="00000000" w:rsidR="00000000" w:rsidRPr="00000000">
              <w:rPr>
                <w:sz w:val="24"/>
                <w:szCs w:val="24"/>
                <w:rtl w:val="0"/>
              </w:rPr>
              <w:t xml:space="preserve">Mitad de duración de la carrera respecto al inicio de la cohorte </w:t>
            </w:r>
            <m:oMath>
              <m:r>
                <w:rPr>
                  <w:rFonts w:ascii="Cambria Math" w:cs="Cambria Math" w:eastAsia="Cambria Math" w:hAnsi="Cambria Math"/>
                  <w:sz w:val="24"/>
                  <w:szCs w:val="24"/>
                </w:rPr>
                <m:t xml:space="preserve">i</m:t>
              </m:r>
            </m:oMath>
            <w:r w:rsidDel="00000000" w:rsidR="00000000" w:rsidRPr="00000000">
              <w:rPr>
                <w:sz w:val="24"/>
                <w:szCs w:val="24"/>
                <w:rtl w:val="0"/>
              </w:rPr>
              <w:t xml:space="preserve">-ésima</w:t>
            </w:r>
          </w:p>
        </w:tc>
      </w:tr>
      <w:tr>
        <w:trPr>
          <w:cantSplit w:val="0"/>
          <w:trHeight w:val="624" w:hRule="atLeast"/>
          <w:tblHeader w:val="0"/>
        </w:trPr>
        <w:tc>
          <w:tcPr>
            <w:vAlign w:val="center"/>
          </w:tcPr>
          <w:p w:rsidR="00000000" w:rsidDel="00000000" w:rsidP="00000000" w:rsidRDefault="00000000" w:rsidRPr="00000000" w14:paraId="00000027">
            <w:pPr>
              <w:jc w:val="center"/>
              <w:rPr>
                <w:rFonts w:ascii="Cambria Math" w:cs="Cambria Math" w:eastAsia="Cambria Math" w:hAnsi="Cambria Math"/>
                <w:sz w:val="28"/>
                <w:szCs w:val="28"/>
              </w:rPr>
            </w:pP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NEG</m:t>
                  </m:r>
                </m:e>
                <m:sub>
                  <m:r>
                    <w:rPr>
                      <w:rFonts w:ascii="Cambria Math" w:cs="Cambria Math" w:eastAsia="Cambria Math" w:hAnsi="Cambria Math"/>
                      <w:sz w:val="28"/>
                      <w:szCs w:val="28"/>
                    </w:rPr>
                    <m:t xml:space="preserve">Ai+δ</m:t>
                  </m:r>
                </m:sub>
              </m:sSub>
            </m:oMath>
            <w:r w:rsidDel="00000000" w:rsidR="00000000" w:rsidRPr="00000000">
              <w:rPr>
                <w:rtl w:val="0"/>
              </w:rPr>
            </w:r>
          </w:p>
        </w:tc>
        <w:tc>
          <w:tcPr>
            <w:vAlign w:val="center"/>
          </w:tcPr>
          <w:p w:rsidR="00000000" w:rsidDel="00000000" w:rsidP="00000000" w:rsidRDefault="00000000" w:rsidRPr="00000000" w14:paraId="00000028">
            <w:pPr>
              <w:jc w:val="both"/>
              <w:rPr>
                <w:sz w:val="24"/>
                <w:szCs w:val="24"/>
              </w:rPr>
            </w:pPr>
            <w:r w:rsidDel="00000000" w:rsidR="00000000" w:rsidRPr="00000000">
              <w:rPr>
                <w:color w:val="211d1e"/>
                <w:sz w:val="23"/>
                <w:szCs w:val="23"/>
                <w:rtl w:val="0"/>
              </w:rPr>
              <w:t xml:space="preserve">Número de estudiantes de la cohorte </w:t>
            </w:r>
            <m:oMath>
              <m:r>
                <w:rPr>
                  <w:rFonts w:ascii="Cambria Math" w:cs="Cambria Math" w:eastAsia="Cambria Math" w:hAnsi="Cambria Math"/>
                  <w:sz w:val="28"/>
                  <w:szCs w:val="28"/>
                </w:rPr>
                <m:t xml:space="preserve">Ai</m:t>
              </m:r>
            </m:oMath>
            <w:r w:rsidDel="00000000" w:rsidR="00000000" w:rsidRPr="00000000">
              <w:rPr>
                <w:color w:val="211d1e"/>
                <w:sz w:val="23"/>
                <w:szCs w:val="23"/>
                <w:rtl w:val="0"/>
              </w:rPr>
              <w:t xml:space="preserve"> que no continuaron sus estudios en </w:t>
            </w:r>
            <m:oMath>
              <m:r>
                <w:rPr>
                  <w:rFonts w:ascii="Cambria Math" w:cs="Cambria Math" w:eastAsia="Cambria Math" w:hAnsi="Cambria Math"/>
                  <w:sz w:val="28"/>
                  <w:szCs w:val="28"/>
                </w:rPr>
                <m:t xml:space="preserve">Ai+δ</m:t>
              </m:r>
            </m:oMath>
            <w:r w:rsidDel="00000000" w:rsidR="00000000" w:rsidRPr="00000000">
              <w:rPr>
                <w:rtl w:val="0"/>
              </w:rPr>
            </w:r>
          </w:p>
        </w:tc>
      </w:tr>
      <w:tr>
        <w:trPr>
          <w:cantSplit w:val="0"/>
          <w:trHeight w:val="624" w:hRule="atLeast"/>
          <w:tblHeader w:val="0"/>
        </w:trPr>
        <w:tc>
          <w:tcPr>
            <w:vAlign w:val="center"/>
          </w:tcPr>
          <w:p w:rsidR="00000000" w:rsidDel="00000000" w:rsidP="00000000" w:rsidRDefault="00000000" w:rsidRPr="00000000" w14:paraId="00000029">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NEG</m:t>
                  </m:r>
                </m:e>
                <m:sub>
                  <m:r>
                    <w:rPr>
                      <w:rFonts w:ascii="Cambria Math" w:cs="Cambria Math" w:eastAsia="Cambria Math" w:hAnsi="Cambria Math"/>
                      <w:sz w:val="24"/>
                      <w:szCs w:val="24"/>
                    </w:rPr>
                    <m:t xml:space="preserve">Ai</m:t>
                  </m:r>
                </m:sub>
              </m:sSub>
            </m:oMath>
            <w:r w:rsidDel="00000000" w:rsidR="00000000" w:rsidRPr="00000000">
              <w:rPr>
                <w:rtl w:val="0"/>
              </w:rPr>
            </w:r>
          </w:p>
        </w:tc>
        <w:tc>
          <w:tcPr>
            <w:vAlign w:val="center"/>
          </w:tcPr>
          <w:p w:rsidR="00000000" w:rsidDel="00000000" w:rsidP="00000000" w:rsidRDefault="00000000" w:rsidRPr="00000000" w14:paraId="0000002A">
            <w:pPr>
              <w:jc w:val="both"/>
              <w:rPr>
                <w:sz w:val="24"/>
                <w:szCs w:val="24"/>
              </w:rPr>
            </w:pPr>
            <w:r w:rsidDel="00000000" w:rsidR="00000000" w:rsidRPr="00000000">
              <w:rPr>
                <w:color w:val="211d1e"/>
                <w:sz w:val="23"/>
                <w:szCs w:val="23"/>
                <w:rtl w:val="0"/>
              </w:rPr>
              <w:t xml:space="preserve">Número de estudiantes que iniciaron sus estudios en la cohorte </w:t>
            </w:r>
            <m:oMath>
              <m:r>
                <w:rPr>
                  <w:rFonts w:ascii="Cambria Math" w:cs="Cambria Math" w:eastAsia="Cambria Math" w:hAnsi="Cambria Math"/>
                  <w:sz w:val="24"/>
                  <w:szCs w:val="24"/>
                </w:rPr>
                <m:t xml:space="preserve">Ai</m:t>
              </m:r>
            </m:oMath>
            <w:r w:rsidDel="00000000" w:rsidR="00000000" w:rsidRPr="00000000">
              <w:rPr>
                <w:rtl w:val="0"/>
              </w:rPr>
            </w:r>
          </w:p>
        </w:tc>
      </w:tr>
    </w:tbl>
    <w:p w:rsidR="00000000" w:rsidDel="00000000" w:rsidP="00000000" w:rsidRDefault="00000000" w:rsidRPr="00000000" w14:paraId="0000002B">
      <w:pPr>
        <w:spacing w:after="0" w:line="240" w:lineRule="auto"/>
        <w:rPr>
          <w:sz w:val="24"/>
          <w:szCs w:val="24"/>
        </w:rPr>
      </w:pPr>
      <w:r w:rsidDel="00000000" w:rsidR="00000000" w:rsidRPr="00000000">
        <w:rPr>
          <w:rtl w:val="0"/>
        </w:rPr>
      </w:r>
    </w:p>
    <w:tbl>
      <w:tblPr>
        <w:tblStyle w:val="Table5"/>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rHeight w:val="454" w:hRule="atLeast"/>
          <w:tblHeader w:val="0"/>
        </w:trPr>
        <w:tc>
          <w:tcPr>
            <w:shd w:fill="9cc2e5" w:val="clear"/>
            <w:vAlign w:val="center"/>
          </w:tcPr>
          <w:p w:rsidR="00000000" w:rsidDel="00000000" w:rsidP="00000000" w:rsidRDefault="00000000" w:rsidRPr="00000000" w14:paraId="0000002C">
            <w:pPr>
              <w:rPr>
                <w:b w:val="1"/>
                <w:bCs w:val="1"/>
                <w:sz w:val="24"/>
                <w:szCs w:val="24"/>
              </w:rPr>
            </w:pPr>
            <w:r w:rsidDel="00000000" w:rsidR="00000000" w:rsidRPr="00000000">
              <w:rPr>
                <w:b w:val="1"/>
                <w:bCs w:val="1"/>
                <w:sz w:val="24"/>
                <w:szCs w:val="24"/>
                <w:rtl w:val="0"/>
              </w:rPr>
              <w:t xml:space="preserve">Metodología</w:t>
            </w:r>
          </w:p>
        </w:tc>
      </w:tr>
      <w:tr>
        <w:trPr>
          <w:cantSplit w:val="0"/>
          <w:trHeight w:val="567" w:hRule="atLeast"/>
          <w:tblHeader w:val="0"/>
        </w:trPr>
        <w:tc>
          <w:tcPr>
            <w:vAlign w:val="center"/>
          </w:tcPr>
          <w:p w:rsidR="00000000" w:rsidDel="00000000" w:rsidP="00000000" w:rsidRDefault="00000000" w:rsidRPr="00000000" w14:paraId="0000002D">
            <w:pPr>
              <w:jc w:val="both"/>
              <w:rPr>
                <w:sz w:val="24"/>
                <w:szCs w:val="24"/>
              </w:rPr>
            </w:pPr>
            <w:r w:rsidDel="00000000" w:rsidR="00000000" w:rsidRPr="00000000">
              <w:rPr>
                <w:sz w:val="24"/>
                <w:szCs w:val="24"/>
                <w:rtl w:val="0"/>
              </w:rPr>
              <w:t xml:space="preserve">Para el cálculo de la tasa de deserción, se toma como referencia el período académico de generación del reporte: </w:t>
            </w:r>
            <w:r w:rsidDel="00000000" w:rsidR="00000000" w:rsidRPr="00000000">
              <w:rPr>
                <w:sz w:val="24"/>
                <w:szCs w:val="24"/>
                <w:rtl w:val="0"/>
              </w:rPr>
              <w:t xml:space="preserve">[indicar período]. A partir de este período, se identifican hasta las cinco últimas cohortes previas de estudiantes que ingresaron al primer nivel de la carrera, siempre que la temporalidad de dichas cohortes permita verificar su continuidad académica en el período correspondiente a Ai + δ.</w:t>
            </w:r>
          </w:p>
          <w:p w:rsidR="00000000" w:rsidDel="00000000" w:rsidP="00000000" w:rsidRDefault="00000000" w:rsidRPr="00000000" w14:paraId="0000002E">
            <w:pPr>
              <w:jc w:val="both"/>
              <w:rPr>
                <w:sz w:val="24"/>
                <w:szCs w:val="24"/>
              </w:rPr>
            </w:pPr>
            <w:r w:rsidDel="00000000" w:rsidR="00000000" w:rsidRPr="00000000">
              <w:rPr>
                <w:rtl w:val="0"/>
              </w:rPr>
            </w:r>
          </w:p>
          <w:p w:rsidR="00000000" w:rsidDel="00000000" w:rsidP="00000000" w:rsidRDefault="00000000" w:rsidRPr="00000000" w14:paraId="0000002F">
            <w:pPr>
              <w:jc w:val="both"/>
              <w:rPr>
                <w:sz w:val="24"/>
                <w:szCs w:val="24"/>
              </w:rPr>
            </w:pPr>
            <w:r w:rsidDel="00000000" w:rsidR="00000000" w:rsidRPr="00000000">
              <w:rPr>
                <w:sz w:val="24"/>
                <w:szCs w:val="24"/>
                <w:rtl w:val="0"/>
              </w:rPr>
              <w:t xml:space="preserve">El valor de δ se determina conforme a lo establecido en la fórmula del modelo de evaluación del CACES-MUEP, considerando la medición de la continuidad estudiantil a la mitad de la duración de la carrera. Por tanto, solo se incluyen aquellas cohortes cuyo período de ingreso permite constatar si los estudiantes continúan o no matriculados una vez cumplido dicho intervalo de seguimiento.</w:t>
            </w:r>
          </w:p>
          <w:p w:rsidR="00000000" w:rsidDel="00000000" w:rsidP="00000000" w:rsidRDefault="00000000" w:rsidRPr="00000000" w14:paraId="00000030">
            <w:pPr>
              <w:jc w:val="both"/>
              <w:rPr>
                <w:sz w:val="24"/>
                <w:szCs w:val="24"/>
              </w:rPr>
            </w:pPr>
            <w:r w:rsidDel="00000000" w:rsidR="00000000" w:rsidRPr="00000000">
              <w:rPr>
                <w:rtl w:val="0"/>
              </w:rPr>
            </w:r>
          </w:p>
          <w:p w:rsidR="00000000" w:rsidDel="00000000" w:rsidP="00000000" w:rsidRDefault="00000000" w:rsidRPr="00000000" w14:paraId="00000031">
            <w:pPr>
              <w:jc w:val="both"/>
              <w:rPr>
                <w:sz w:val="24"/>
                <w:szCs w:val="24"/>
              </w:rPr>
            </w:pPr>
            <w:r w:rsidDel="00000000" w:rsidR="00000000" w:rsidRPr="00000000">
              <w:rPr>
                <w:sz w:val="24"/>
                <w:szCs w:val="24"/>
                <w:rtl w:val="0"/>
              </w:rPr>
              <w:t xml:space="preserve">Para cada cohorte seleccionada se determina el número total de estudiantes matriculados en primer nivel en el período de ingreso, denominado NEG Ai, y se verifica su continuidad académica en el período correspondiente a Ai + δ. Se consideran como desertores aquellos estudiantes que no registran matrícula activa en el período de seguimiento definido, incluyendo los casos de retiro, anulación de matrícula y cambio de carrera, conforme a la normativa académica vigente. Se excluyen del conteo de desertores los estudiantes que consten como egresados o graduados.</w:t>
            </w:r>
          </w:p>
          <w:p w:rsidR="00000000" w:rsidDel="00000000" w:rsidP="00000000" w:rsidRDefault="00000000" w:rsidRPr="00000000" w14:paraId="00000032">
            <w:pPr>
              <w:jc w:val="both"/>
              <w:rPr>
                <w:sz w:val="24"/>
                <w:szCs w:val="24"/>
              </w:rPr>
            </w:pPr>
            <w:r w:rsidDel="00000000" w:rsidR="00000000" w:rsidRPr="00000000">
              <w:rPr>
                <w:rtl w:val="0"/>
              </w:rPr>
            </w:r>
          </w:p>
          <w:p w:rsidR="00000000" w:rsidDel="00000000" w:rsidP="00000000" w:rsidRDefault="00000000" w:rsidRPr="00000000" w14:paraId="00000033">
            <w:pPr>
              <w:jc w:val="both"/>
              <w:rPr>
                <w:sz w:val="24"/>
                <w:szCs w:val="24"/>
              </w:rPr>
            </w:pPr>
            <w:r w:rsidDel="00000000" w:rsidR="00000000" w:rsidRPr="00000000">
              <w:rPr>
                <w:sz w:val="24"/>
                <w:szCs w:val="24"/>
                <w:rtl w:val="0"/>
              </w:rPr>
              <w:t xml:space="preserve">Finalmente, se aplica la fórmula de tasa de deserción establecida en el modelo de evaluación, con el propósito de determinar el porcentaje de estudiantes de cada cohorte que no continúan sus estudios dentro del período observado.</w:t>
            </w:r>
          </w:p>
        </w:tc>
      </w:tr>
    </w:tbl>
    <w:p w:rsidR="00000000" w:rsidDel="00000000" w:rsidP="00000000" w:rsidRDefault="00000000" w:rsidRPr="00000000" w14:paraId="00000034">
      <w:pPr>
        <w:spacing w:after="0" w:line="240" w:lineRule="auto"/>
        <w:rPr>
          <w:sz w:val="24"/>
          <w:szCs w:val="24"/>
        </w:rPr>
      </w:pPr>
      <w:r w:rsidDel="00000000" w:rsidR="00000000" w:rsidRPr="00000000">
        <w:rPr>
          <w:rtl w:val="0"/>
        </w:rPr>
      </w:r>
    </w:p>
    <w:tbl>
      <w:tblPr>
        <w:tblStyle w:val="Table6"/>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rHeight w:val="567" w:hRule="atLeast"/>
          <w:tblHeader w:val="0"/>
        </w:trPr>
        <w:tc>
          <w:tcPr>
            <w:shd w:fill="d9d9d9" w:val="clear"/>
            <w:vAlign w:val="center"/>
          </w:tcPr>
          <w:p w:rsidR="00000000" w:rsidDel="00000000" w:rsidP="00000000" w:rsidRDefault="00000000" w:rsidRPr="00000000" w14:paraId="00000035">
            <w:pPr>
              <w:rPr>
                <w:b w:val="1"/>
                <w:bCs w:val="1"/>
                <w:sz w:val="28"/>
                <w:szCs w:val="28"/>
              </w:rPr>
            </w:pPr>
            <w:r w:rsidDel="00000000" w:rsidR="00000000" w:rsidRPr="00000000">
              <w:rPr>
                <w:b w:val="1"/>
                <w:bCs w:val="1"/>
                <w:sz w:val="28"/>
                <w:szCs w:val="28"/>
                <w:rtl w:val="0"/>
              </w:rPr>
              <w:t xml:space="preserve">EJECUCIÓN DEL CÁLCULO:</w:t>
            </w:r>
          </w:p>
        </w:tc>
      </w:tr>
    </w:tbl>
    <w:p w:rsidR="00000000" w:rsidDel="00000000" w:rsidP="00000000" w:rsidRDefault="00000000" w:rsidRPr="00000000" w14:paraId="00000036">
      <w:pPr>
        <w:spacing w:after="0" w:lineRule="auto"/>
        <w:rPr>
          <w:b w:val="1"/>
          <w:bCs w:val="1"/>
          <w:sz w:val="12"/>
          <w:szCs w:val="12"/>
        </w:rPr>
      </w:pPr>
      <w:r w:rsidDel="00000000" w:rsidR="00000000" w:rsidRPr="00000000">
        <w:rPr>
          <w:rtl w:val="0"/>
        </w:rPr>
      </w:r>
    </w:p>
    <w:tbl>
      <w:tblPr>
        <w:tblStyle w:val="Table7"/>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34"/>
        <w:gridCol w:w="2434"/>
        <w:gridCol w:w="2434"/>
        <w:gridCol w:w="2434"/>
        <w:tblGridChange w:id="0">
          <w:tblGrid>
            <w:gridCol w:w="2434"/>
            <w:gridCol w:w="2434"/>
            <w:gridCol w:w="2434"/>
            <w:gridCol w:w="2434"/>
          </w:tblGrid>
        </w:tblGridChange>
      </w:tblGrid>
      <w:tr>
        <w:trPr>
          <w:cantSplit w:val="0"/>
          <w:trHeight w:val="454" w:hRule="atLeast"/>
          <w:tblHeader w:val="0"/>
        </w:trPr>
        <w:tc>
          <w:tcPr>
            <w:gridSpan w:val="4"/>
            <w:shd w:fill="9cc2e5" w:val="clear"/>
            <w:vAlign w:val="center"/>
          </w:tcPr>
          <w:p w:rsidR="00000000" w:rsidDel="00000000" w:rsidP="00000000" w:rsidRDefault="00000000" w:rsidRPr="00000000" w14:paraId="00000037">
            <w:pPr>
              <w:rPr>
                <w:b w:val="1"/>
                <w:bCs w:val="1"/>
                <w:sz w:val="24"/>
                <w:szCs w:val="24"/>
              </w:rPr>
            </w:pPr>
            <w:r w:rsidDel="00000000" w:rsidR="00000000" w:rsidRPr="00000000">
              <w:rPr>
                <w:b w:val="1"/>
                <w:bCs w:val="1"/>
                <w:sz w:val="24"/>
                <w:szCs w:val="24"/>
                <w:rtl w:val="0"/>
              </w:rPr>
              <w:t xml:space="preserve">Resultado del cálculo:</w:t>
            </w:r>
          </w:p>
        </w:tc>
      </w:tr>
      <w:tr>
        <w:trPr>
          <w:cantSplit w:val="0"/>
          <w:trHeight w:val="624" w:hRule="atLeast"/>
          <w:tblHeader w:val="0"/>
        </w:trPr>
        <w:tc>
          <w:tcPr>
            <w:shd w:fill="auto" w:val="clear"/>
            <w:vAlign w:val="center"/>
          </w:tcPr>
          <w:p w:rsidR="00000000" w:rsidDel="00000000" w:rsidP="00000000" w:rsidRDefault="00000000" w:rsidRPr="00000000" w14:paraId="0000003B">
            <w:pPr>
              <w:jc w:val="center"/>
              <w:rPr>
                <w:rFonts w:ascii="Cambria Math" w:cs="Cambria Math" w:eastAsia="Cambria Math" w:hAnsi="Cambria Math"/>
                <w:sz w:val="24"/>
                <w:szCs w:val="24"/>
              </w:rPr>
            </w:pPr>
            <m:oMath>
              <m:r>
                <w:rPr>
                  <w:rFonts w:ascii="Cambria Math" w:cs="Cambria Math" w:eastAsia="Cambria Math" w:hAnsi="Cambria Math"/>
                  <w:sz w:val="24"/>
                  <w:szCs w:val="24"/>
                </w:rPr>
                <m:t xml:space="preserve">Ai</m:t>
              </m:r>
            </m:oMath>
            <w:r w:rsidDel="00000000" w:rsidR="00000000" w:rsidRPr="00000000">
              <w:rPr>
                <w:rtl w:val="0"/>
              </w:rPr>
            </w:r>
          </w:p>
        </w:tc>
        <w:tc>
          <w:tcPr>
            <w:shd w:fill="auto" w:val="clear"/>
            <w:vAlign w:val="center"/>
          </w:tcPr>
          <w:p w:rsidR="00000000" w:rsidDel="00000000" w:rsidP="00000000" w:rsidRDefault="00000000" w:rsidRPr="00000000" w14:paraId="0000003C">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NEG</m:t>
                  </m:r>
                </m:e>
                <m:sub>
                  <m:r>
                    <w:rPr>
                      <w:rFonts w:ascii="Cambria Math" w:cs="Cambria Math" w:eastAsia="Cambria Math" w:hAnsi="Cambria Math"/>
                      <w:sz w:val="24"/>
                      <w:szCs w:val="24"/>
                    </w:rPr>
                    <m:t xml:space="preserve">Ai+δ</m:t>
                  </m:r>
                </m:sub>
              </m:sSub>
            </m:oMath>
            <w:r w:rsidDel="00000000" w:rsidR="00000000" w:rsidRPr="00000000">
              <w:rPr>
                <w:rtl w:val="0"/>
              </w:rPr>
            </w:r>
          </w:p>
        </w:tc>
        <w:tc>
          <w:tcPr>
            <w:shd w:fill="auto" w:val="clear"/>
            <w:vAlign w:val="center"/>
          </w:tcPr>
          <w:p w:rsidR="00000000" w:rsidDel="00000000" w:rsidP="00000000" w:rsidRDefault="00000000" w:rsidRPr="00000000" w14:paraId="0000003D">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NEG</m:t>
                  </m:r>
                </m:e>
                <m:sub>
                  <m:r>
                    <w:rPr>
                      <w:rFonts w:ascii="Cambria Math" w:cs="Cambria Math" w:eastAsia="Cambria Math" w:hAnsi="Cambria Math"/>
                      <w:sz w:val="24"/>
                      <w:szCs w:val="24"/>
                    </w:rPr>
                    <m:t xml:space="preserve">Ai</m:t>
                  </m:r>
                </m:sub>
              </m:sSub>
            </m:oMath>
            <w:r w:rsidDel="00000000" w:rsidR="00000000" w:rsidRPr="00000000">
              <w:rPr>
                <w:rtl w:val="0"/>
              </w:rPr>
            </w:r>
          </w:p>
        </w:tc>
        <w:tc>
          <w:tcPr>
            <w:shd w:fill="auto" w:val="clear"/>
            <w:vAlign w:val="center"/>
          </w:tcPr>
          <w:p w:rsidR="00000000" w:rsidDel="00000000" w:rsidP="00000000" w:rsidRDefault="00000000" w:rsidRPr="00000000" w14:paraId="0000003E">
            <w:pPr>
              <w:jc w:val="center"/>
              <w:rPr>
                <w:rFonts w:ascii="Cambria Math" w:cs="Cambria Math" w:eastAsia="Cambria Math" w:hAnsi="Cambria Math"/>
                <w:sz w:val="24"/>
                <w:szCs w:val="24"/>
              </w:rPr>
            </w:pPr>
            <m:oMath>
              <m:sSub>
                <m:sSubPr>
                  <m:ctrlPr>
                    <w:rPr>
                      <w:rFonts w:ascii="Cambria Math" w:cs="Cambria Math" w:eastAsia="Cambria Math" w:hAnsi="Cambria Math"/>
                      <w:sz w:val="24"/>
                      <w:szCs w:val="24"/>
                    </w:rPr>
                  </m:ctrlPr>
                </m:sSubPr>
                <m:e>
                  <m:r>
                    <w:rPr>
                      <w:rFonts w:ascii="Cambria Math" w:cs="Cambria Math" w:eastAsia="Cambria Math" w:hAnsi="Cambria Math"/>
                      <w:sz w:val="24"/>
                      <w:szCs w:val="24"/>
                    </w:rPr>
                    <m:t xml:space="preserve">TD</m:t>
                  </m:r>
                </m:e>
                <m:sub>
                  <m:r>
                    <w:rPr>
                      <w:rFonts w:ascii="Cambria Math" w:cs="Cambria Math" w:eastAsia="Cambria Math" w:hAnsi="Cambria Math"/>
                      <w:sz w:val="24"/>
                      <w:szCs w:val="24"/>
                    </w:rPr>
                    <m:t>δ</m:t>
                  </m:r>
                </m:sub>
              </m:sSub>
            </m:oMath>
            <w:r w:rsidDel="00000000" w:rsidR="00000000" w:rsidRPr="00000000">
              <w:rPr>
                <w:rtl w:val="0"/>
              </w:rPr>
            </w:r>
          </w:p>
        </w:tc>
      </w:tr>
      <w:tr>
        <w:trPr>
          <w:cantSplit w:val="0"/>
          <w:trHeight w:val="152" w:hRule="atLeast"/>
          <w:tblHeader w:val="0"/>
        </w:trPr>
        <w:tc>
          <w:tcPr>
            <w:shd w:fill="auto" w:val="clear"/>
            <w:vAlign w:val="center"/>
          </w:tcPr>
          <w:p w:rsidR="00000000" w:rsidDel="00000000" w:rsidP="00000000" w:rsidRDefault="00000000" w:rsidRPr="00000000" w14:paraId="0000003F">
            <w:pPr>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0">
            <w:pPr>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1">
            <w:pPr>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2">
            <w:pPr>
              <w:rPr>
                <w:sz w:val="24"/>
                <w:szCs w:val="24"/>
              </w:rPr>
            </w:pPr>
            <w:r w:rsidDel="00000000" w:rsidR="00000000" w:rsidRPr="00000000">
              <w:rPr>
                <w:rtl w:val="0"/>
              </w:rPr>
            </w:r>
          </w:p>
        </w:tc>
      </w:tr>
      <w:tr>
        <w:trPr>
          <w:cantSplit w:val="0"/>
          <w:trHeight w:val="152" w:hRule="atLeast"/>
          <w:tblHeader w:val="0"/>
        </w:trPr>
        <w:tc>
          <w:tcPr>
            <w:shd w:fill="auto" w:val="clear"/>
            <w:vAlign w:val="center"/>
          </w:tcPr>
          <w:p w:rsidR="00000000" w:rsidDel="00000000" w:rsidP="00000000" w:rsidRDefault="00000000" w:rsidRPr="00000000" w14:paraId="00000043">
            <w:pPr>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4">
            <w:pPr>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5">
            <w:pPr>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6">
            <w:pPr>
              <w:rPr>
                <w:sz w:val="24"/>
                <w:szCs w:val="24"/>
              </w:rPr>
            </w:pPr>
            <w:r w:rsidDel="00000000" w:rsidR="00000000" w:rsidRPr="00000000">
              <w:rPr>
                <w:rtl w:val="0"/>
              </w:rPr>
            </w:r>
          </w:p>
        </w:tc>
      </w:tr>
      <w:tr>
        <w:trPr>
          <w:cantSplit w:val="0"/>
          <w:trHeight w:val="152" w:hRule="atLeast"/>
          <w:tblHeader w:val="0"/>
        </w:trPr>
        <w:tc>
          <w:tcPr>
            <w:shd w:fill="auto" w:val="clear"/>
            <w:vAlign w:val="center"/>
          </w:tcPr>
          <w:p w:rsidR="00000000" w:rsidDel="00000000" w:rsidP="00000000" w:rsidRDefault="00000000" w:rsidRPr="00000000" w14:paraId="00000047">
            <w:pPr>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8">
            <w:pPr>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9">
            <w:pPr>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A">
            <w:pPr>
              <w:rPr>
                <w:sz w:val="24"/>
                <w:szCs w:val="24"/>
              </w:rPr>
            </w:pPr>
            <w:r w:rsidDel="00000000" w:rsidR="00000000" w:rsidRPr="00000000">
              <w:rPr>
                <w:rtl w:val="0"/>
              </w:rPr>
            </w:r>
          </w:p>
        </w:tc>
      </w:tr>
      <w:tr>
        <w:trPr>
          <w:cantSplit w:val="0"/>
          <w:trHeight w:val="152" w:hRule="atLeast"/>
          <w:tblHeader w:val="0"/>
        </w:trPr>
        <w:tc>
          <w:tcPr>
            <w:shd w:fill="auto" w:val="clear"/>
            <w:vAlign w:val="center"/>
          </w:tcPr>
          <w:p w:rsidR="00000000" w:rsidDel="00000000" w:rsidP="00000000" w:rsidRDefault="00000000" w:rsidRPr="00000000" w14:paraId="0000004B">
            <w:pPr>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C">
            <w:pPr>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D">
            <w:pPr>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E">
            <w:pPr>
              <w:rPr>
                <w:sz w:val="24"/>
                <w:szCs w:val="24"/>
              </w:rPr>
            </w:pPr>
            <w:r w:rsidDel="00000000" w:rsidR="00000000" w:rsidRPr="00000000">
              <w:rPr>
                <w:rtl w:val="0"/>
              </w:rPr>
            </w:r>
          </w:p>
        </w:tc>
      </w:tr>
      <w:tr>
        <w:trPr>
          <w:cantSplit w:val="0"/>
          <w:trHeight w:val="152" w:hRule="atLeast"/>
          <w:tblHeader w:val="0"/>
        </w:trPr>
        <w:tc>
          <w:tcPr>
            <w:shd w:fill="auto" w:val="clear"/>
            <w:vAlign w:val="center"/>
          </w:tcPr>
          <w:p w:rsidR="00000000" w:rsidDel="00000000" w:rsidP="00000000" w:rsidRDefault="00000000" w:rsidRPr="00000000" w14:paraId="0000004F">
            <w:pPr>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50">
            <w:pPr>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51">
            <w:pPr>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52">
            <w:pPr>
              <w:rPr>
                <w:sz w:val="24"/>
                <w:szCs w:val="24"/>
              </w:rPr>
            </w:pPr>
            <w:r w:rsidDel="00000000" w:rsidR="00000000" w:rsidRPr="00000000">
              <w:rPr>
                <w:rtl w:val="0"/>
              </w:rPr>
            </w:r>
          </w:p>
        </w:tc>
      </w:tr>
    </w:tbl>
    <w:p w:rsidR="00000000" w:rsidDel="00000000" w:rsidP="00000000" w:rsidRDefault="00000000" w:rsidRPr="00000000" w14:paraId="00000053">
      <w:pPr>
        <w:spacing w:after="0" w:line="240" w:lineRule="auto"/>
        <w:rPr>
          <w:sz w:val="24"/>
          <w:szCs w:val="24"/>
        </w:rPr>
      </w:pPr>
      <w:r w:rsidDel="00000000" w:rsidR="00000000" w:rsidRPr="00000000">
        <w:rPr>
          <w:rtl w:val="0"/>
        </w:rPr>
      </w:r>
    </w:p>
    <w:tbl>
      <w:tblPr>
        <w:tblStyle w:val="Table8"/>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rHeight w:val="567" w:hRule="atLeast"/>
          <w:tblHeader w:val="0"/>
        </w:trPr>
        <w:tc>
          <w:tcPr>
            <w:shd w:fill="d9d9d9" w:val="clear"/>
            <w:vAlign w:val="center"/>
          </w:tcPr>
          <w:p w:rsidR="00000000" w:rsidDel="00000000" w:rsidP="00000000" w:rsidRDefault="00000000" w:rsidRPr="00000000" w14:paraId="00000054">
            <w:pPr>
              <w:rPr>
                <w:b w:val="1"/>
                <w:bCs w:val="1"/>
                <w:sz w:val="28"/>
                <w:szCs w:val="28"/>
              </w:rPr>
            </w:pPr>
            <w:r w:rsidDel="00000000" w:rsidR="00000000" w:rsidRPr="00000000">
              <w:rPr>
                <w:b w:val="1"/>
                <w:bCs w:val="1"/>
                <w:sz w:val="28"/>
                <w:szCs w:val="28"/>
                <w:rtl w:val="0"/>
              </w:rPr>
              <w:t xml:space="preserve">ANÁLISIS DEL RESULTADO OBTENIDO:</w:t>
            </w:r>
          </w:p>
        </w:tc>
      </w:tr>
    </w:tbl>
    <w:p w:rsidR="00000000" w:rsidDel="00000000" w:rsidP="00000000" w:rsidRDefault="00000000" w:rsidRPr="00000000" w14:paraId="00000055">
      <w:pPr>
        <w:spacing w:after="0" w:lineRule="auto"/>
        <w:rPr>
          <w:b w:val="1"/>
          <w:bCs w:val="1"/>
          <w:sz w:val="12"/>
          <w:szCs w:val="12"/>
        </w:rPr>
      </w:pPr>
      <w:r w:rsidDel="00000000" w:rsidR="00000000" w:rsidRPr="00000000">
        <w:rPr>
          <w:rtl w:val="0"/>
        </w:rPr>
      </w:r>
    </w:p>
    <w:tbl>
      <w:tblPr>
        <w:tblStyle w:val="Table9"/>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rHeight w:val="397" w:hRule="atLeast"/>
          <w:tblHeader w:val="0"/>
        </w:trPr>
        <w:tc>
          <w:tcPr>
            <w:shd w:fill="9cc2e5" w:val="clear"/>
            <w:vAlign w:val="center"/>
          </w:tcPr>
          <w:p w:rsidR="00000000" w:rsidDel="00000000" w:rsidP="00000000" w:rsidRDefault="00000000" w:rsidRPr="00000000" w14:paraId="00000056">
            <w:pPr>
              <w:rPr>
                <w:b w:val="1"/>
                <w:bCs w:val="1"/>
                <w:sz w:val="24"/>
                <w:szCs w:val="24"/>
              </w:rPr>
            </w:pPr>
            <w:r w:rsidDel="00000000" w:rsidR="00000000" w:rsidRPr="00000000">
              <w:rPr>
                <w:b w:val="1"/>
                <w:bCs w:val="1"/>
                <w:sz w:val="24"/>
                <w:szCs w:val="24"/>
                <w:rtl w:val="0"/>
              </w:rPr>
              <w:t xml:space="preserve">Análisis de los resultados de la carrera: </w:t>
            </w:r>
          </w:p>
        </w:tc>
      </w:tr>
      <w:tr>
        <w:trPr>
          <w:cantSplit w:val="0"/>
          <w:trHeight w:val="1417" w:hRule="atLeast"/>
          <w:tblHeader w:val="0"/>
        </w:trPr>
        <w:tc>
          <w:tcPr>
            <w:vAlign w:val="center"/>
          </w:tcPr>
          <w:p w:rsidR="00000000" w:rsidDel="00000000" w:rsidP="00000000" w:rsidRDefault="00000000" w:rsidRPr="00000000" w14:paraId="00000057">
            <w:pPr>
              <w:spacing w:line="276" w:lineRule="auto"/>
              <w:jc w:val="both"/>
              <w:rPr>
                <w:sz w:val="24"/>
                <w:szCs w:val="24"/>
              </w:rPr>
            </w:pPr>
            <w:r w:rsidDel="00000000" w:rsidR="00000000" w:rsidRPr="00000000">
              <w:rPr>
                <w:sz w:val="24"/>
                <w:szCs w:val="24"/>
                <w:rtl w:val="0"/>
              </w:rPr>
              <w:t xml:space="preserve">La carrera [Nombre de la carrera], modalidad [Modalidad], perteneciente a la Facultad [Nombre de la facultad], tiene una duración de [número] semestres, conforme a su plan de estudios vigente. De acuerdo con el modelo CACES-MUEP (2023), la medición de la tasa de deserción se realizó considerando un delta δ = [número] semestres, equivalente aproximadamente a la mitad de la duración formal de la carrera.</w:t>
            </w:r>
          </w:p>
          <w:p w:rsidR="00000000" w:rsidDel="00000000" w:rsidP="00000000" w:rsidRDefault="00000000" w:rsidRPr="00000000" w14:paraId="00000058">
            <w:pPr>
              <w:spacing w:line="276" w:lineRule="auto"/>
              <w:jc w:val="both"/>
              <w:rPr>
                <w:sz w:val="24"/>
                <w:szCs w:val="24"/>
              </w:rPr>
            </w:pPr>
            <w:r w:rsidDel="00000000" w:rsidR="00000000" w:rsidRPr="00000000">
              <w:rPr>
                <w:rtl w:val="0"/>
              </w:rPr>
            </w:r>
          </w:p>
          <w:p w:rsidR="00000000" w:rsidDel="00000000" w:rsidP="00000000" w:rsidRDefault="00000000" w:rsidRPr="00000000" w14:paraId="00000059">
            <w:pPr>
              <w:spacing w:line="276" w:lineRule="auto"/>
              <w:jc w:val="both"/>
              <w:rPr>
                <w:sz w:val="24"/>
                <w:szCs w:val="24"/>
              </w:rPr>
            </w:pPr>
            <w:r w:rsidDel="00000000" w:rsidR="00000000" w:rsidRPr="00000000">
              <w:rPr>
                <w:sz w:val="24"/>
                <w:szCs w:val="24"/>
                <w:rtl w:val="0"/>
              </w:rPr>
              <w:t xml:space="preserve">Tomando como período de generación del reporte [indicar período académico], se analizaron hasta las cinco últimas cohortes previas que ingresaron al primer nivel y cuya temporalidad permitió verificar la continuidad académica de los estudiantes en el período correspondiente a Ai + δ. En total, se consideraron [número de cohortes analizadas] cohorte(s) para el cálculo del indicador.</w:t>
            </w:r>
          </w:p>
          <w:p w:rsidR="00000000" w:rsidDel="00000000" w:rsidP="00000000" w:rsidRDefault="00000000" w:rsidRPr="00000000" w14:paraId="0000005A">
            <w:pPr>
              <w:spacing w:line="276" w:lineRule="auto"/>
              <w:jc w:val="both"/>
              <w:rPr>
                <w:sz w:val="24"/>
                <w:szCs w:val="24"/>
              </w:rPr>
            </w:pPr>
            <w:r w:rsidDel="00000000" w:rsidR="00000000" w:rsidRPr="00000000">
              <w:rPr>
                <w:rtl w:val="0"/>
              </w:rPr>
            </w:r>
          </w:p>
          <w:p w:rsidR="00000000" w:rsidDel="00000000" w:rsidP="00000000" w:rsidRDefault="00000000" w:rsidRPr="00000000" w14:paraId="0000005B">
            <w:pPr>
              <w:spacing w:line="276" w:lineRule="auto"/>
              <w:jc w:val="both"/>
              <w:rPr>
                <w:sz w:val="24"/>
                <w:szCs w:val="24"/>
              </w:rPr>
            </w:pPr>
            <w:r w:rsidDel="00000000" w:rsidR="00000000" w:rsidRPr="00000000">
              <w:rPr>
                <w:sz w:val="24"/>
                <w:szCs w:val="24"/>
                <w:rtl w:val="0"/>
              </w:rPr>
              <w:t xml:space="preserve">En los resultados obtenidos se observa que la cohorte [indicar cohorte 1] registró una tasa de deserción de [indicar porcentaje]%, mientras que la cohorte [indicar cohorte 2] presentó una tasa de [indicar porcentaje]%. Asimismo, la cohorte [indicar cohorte n] alcanzó una tasa de deserción de [indicar porcentaje]%. Estos valores permiten identificar el comportamiento de la deserción estudiantil en los períodos evaluados y reconocer posibles variaciones entre cohortes.</w:t>
            </w:r>
          </w:p>
          <w:p w:rsidR="00000000" w:rsidDel="00000000" w:rsidP="00000000" w:rsidRDefault="00000000" w:rsidRPr="00000000" w14:paraId="0000005C">
            <w:pPr>
              <w:spacing w:line="276" w:lineRule="auto"/>
              <w:jc w:val="both"/>
              <w:rPr>
                <w:sz w:val="24"/>
                <w:szCs w:val="24"/>
              </w:rPr>
            </w:pPr>
            <w:r w:rsidDel="00000000" w:rsidR="00000000" w:rsidRPr="00000000">
              <w:rPr>
                <w:rtl w:val="0"/>
              </w:rPr>
            </w:r>
          </w:p>
          <w:p w:rsidR="00000000" w:rsidDel="00000000" w:rsidP="00000000" w:rsidRDefault="00000000" w:rsidRPr="00000000" w14:paraId="0000005D">
            <w:pPr>
              <w:spacing w:line="276" w:lineRule="auto"/>
              <w:jc w:val="both"/>
              <w:rPr>
                <w:sz w:val="24"/>
                <w:szCs w:val="24"/>
              </w:rPr>
            </w:pPr>
            <w:bookmarkStart w:colFirst="0" w:colLast="0" w:name="_heading=h.zer2y61hu0aa" w:id="0"/>
            <w:bookmarkEnd w:id="0"/>
            <w:r w:rsidDel="00000000" w:rsidR="00000000" w:rsidRPr="00000000">
              <w:rPr>
                <w:sz w:val="24"/>
                <w:szCs w:val="24"/>
                <w:rtl w:val="0"/>
              </w:rPr>
              <w:t xml:space="preserve">Al comparar la cohorte más antigua, correspondiente a [indicar cohorte más antigua], con una tasa de deserción de [indicar porcentaje]%, frente a la cohorte más reciente, correspondiente a [indicar cohorte más reciente], con una tasa de [indicar porcentaje]%, se evidencia que la deserción [se mantuvo / aumentó / disminuyó] en [indicar diferencia en puntos porcentuales, si aplica]. Este comportamiento permite valorar la evolución del indicador y orientar la toma de decisiones respecto a las estrategias de permanencia, seguimiento académico, alerta temprana, orientación estudiantil y retención dentro de la carrera conforme corresponda.</w:t>
            </w:r>
          </w:p>
        </w:tc>
      </w:tr>
    </w:tbl>
    <w:p w:rsidR="00000000" w:rsidDel="00000000" w:rsidP="00000000" w:rsidRDefault="00000000" w:rsidRPr="00000000" w14:paraId="0000005E">
      <w:pPr>
        <w:spacing w:after="0" w:lineRule="auto"/>
        <w:rPr>
          <w:b w:val="1"/>
          <w:bCs w:val="1"/>
          <w:sz w:val="12"/>
          <w:szCs w:val="12"/>
        </w:rPr>
      </w:pPr>
      <w:r w:rsidDel="00000000" w:rsidR="00000000" w:rsidRPr="00000000">
        <w:rPr>
          <w:rtl w:val="0"/>
        </w:rPr>
      </w:r>
    </w:p>
    <w:tbl>
      <w:tblPr>
        <w:tblStyle w:val="Table10"/>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rHeight w:val="397" w:hRule="atLeast"/>
          <w:tblHeader w:val="0"/>
        </w:trPr>
        <w:tc>
          <w:tcPr>
            <w:shd w:fill="9cc2e5" w:val="clear"/>
            <w:vAlign w:val="center"/>
          </w:tcPr>
          <w:p w:rsidR="00000000" w:rsidDel="00000000" w:rsidP="00000000" w:rsidRDefault="00000000" w:rsidRPr="00000000" w14:paraId="0000005F">
            <w:pPr>
              <w:rPr>
                <w:b w:val="1"/>
                <w:bCs w:val="1"/>
                <w:sz w:val="24"/>
                <w:szCs w:val="24"/>
              </w:rPr>
            </w:pPr>
            <w:r w:rsidDel="00000000" w:rsidR="00000000" w:rsidRPr="00000000">
              <w:rPr>
                <w:b w:val="1"/>
                <w:bCs w:val="1"/>
                <w:sz w:val="24"/>
                <w:szCs w:val="24"/>
                <w:rtl w:val="0"/>
              </w:rPr>
              <w:t xml:space="preserve">Comparativo de los resultados de la carrera: </w:t>
            </w:r>
          </w:p>
        </w:tc>
      </w:tr>
      <w:tr>
        <w:trPr>
          <w:cantSplit w:val="0"/>
          <w:trHeight w:val="567" w:hRule="atLeast"/>
          <w:tblHeader w:val="0"/>
        </w:trPr>
        <w:tc>
          <w:tcPr>
            <w:vAlign w:val="center"/>
          </w:tcPr>
          <w:p w:rsidR="00000000" w:rsidDel="00000000" w:rsidP="00000000" w:rsidRDefault="00000000" w:rsidRPr="00000000" w14:paraId="00000060">
            <w:pPr>
              <w:spacing w:line="276" w:lineRule="auto"/>
              <w:jc w:val="both"/>
              <w:rPr>
                <w:sz w:val="24"/>
                <w:szCs w:val="24"/>
              </w:rPr>
            </w:pPr>
            <w:r w:rsidDel="00000000" w:rsidR="00000000" w:rsidRPr="00000000">
              <w:rPr>
                <w:sz w:val="24"/>
                <w:szCs w:val="24"/>
                <w:rtl w:val="0"/>
              </w:rPr>
              <w:t xml:space="preserve">Gráfico comparativo de barras de los períodos generados en la tabla.</w:t>
            </w:r>
          </w:p>
        </w:tc>
      </w:tr>
    </w:tbl>
    <w:p w:rsidR="00000000" w:rsidDel="00000000" w:rsidP="00000000" w:rsidRDefault="00000000" w:rsidRPr="00000000" w14:paraId="00000061">
      <w:pPr>
        <w:spacing w:after="0" w:lineRule="auto"/>
        <w:rPr>
          <w:b w:val="1"/>
          <w:bCs w:val="1"/>
          <w:sz w:val="12"/>
          <w:szCs w:val="12"/>
        </w:rPr>
      </w:pPr>
      <w:r w:rsidDel="00000000" w:rsidR="00000000" w:rsidRPr="00000000">
        <w:rPr>
          <w:rtl w:val="0"/>
        </w:rPr>
      </w:r>
    </w:p>
    <w:p w:rsidR="00000000" w:rsidDel="00000000" w:rsidP="00000000" w:rsidRDefault="00000000" w:rsidRPr="00000000" w14:paraId="00000062">
      <w:pPr>
        <w:spacing w:after="0" w:line="240" w:lineRule="auto"/>
        <w:rPr>
          <w:sz w:val="24"/>
          <w:szCs w:val="24"/>
        </w:rPr>
      </w:pPr>
      <w:r w:rsidDel="00000000" w:rsidR="00000000" w:rsidRPr="00000000">
        <w:rPr>
          <w:rtl w:val="0"/>
        </w:rPr>
      </w:r>
    </w:p>
    <w:tbl>
      <w:tblPr>
        <w:tblStyle w:val="Table11"/>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rHeight w:val="567" w:hRule="atLeast"/>
          <w:tblHeader w:val="0"/>
        </w:trPr>
        <w:tc>
          <w:tcPr>
            <w:shd w:fill="d9d9d9" w:val="clear"/>
            <w:vAlign w:val="center"/>
          </w:tcPr>
          <w:p w:rsidR="00000000" w:rsidDel="00000000" w:rsidP="00000000" w:rsidRDefault="00000000" w:rsidRPr="00000000" w14:paraId="00000063">
            <w:pPr>
              <w:rPr>
                <w:b w:val="1"/>
                <w:bCs w:val="1"/>
                <w:sz w:val="28"/>
                <w:szCs w:val="28"/>
              </w:rPr>
            </w:pPr>
            <w:r w:rsidDel="00000000" w:rsidR="00000000" w:rsidRPr="00000000">
              <w:rPr>
                <w:b w:val="1"/>
                <w:bCs w:val="1"/>
                <w:sz w:val="28"/>
                <w:szCs w:val="28"/>
                <w:rtl w:val="0"/>
              </w:rPr>
              <w:t xml:space="preserve">FIRMAS DE RESPONSABILIDAD:</w:t>
            </w:r>
          </w:p>
        </w:tc>
      </w:tr>
    </w:tbl>
    <w:p w:rsidR="00000000" w:rsidDel="00000000" w:rsidP="00000000" w:rsidRDefault="00000000" w:rsidRPr="00000000" w14:paraId="00000064">
      <w:pPr>
        <w:spacing w:after="0" w:lineRule="auto"/>
        <w:rPr>
          <w:b w:val="1"/>
          <w:bCs w:val="1"/>
          <w:sz w:val="12"/>
          <w:szCs w:val="12"/>
        </w:rPr>
      </w:pPr>
      <w:r w:rsidDel="00000000" w:rsidR="00000000" w:rsidRPr="00000000">
        <w:rPr>
          <w:rtl w:val="0"/>
        </w:rPr>
      </w:r>
    </w:p>
    <w:tbl>
      <w:tblPr>
        <w:tblStyle w:val="Table12"/>
        <w:tblW w:w="973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68"/>
        <w:gridCol w:w="4868"/>
        <w:tblGridChange w:id="0">
          <w:tblGrid>
            <w:gridCol w:w="4868"/>
            <w:gridCol w:w="4868"/>
          </w:tblGrid>
        </w:tblGridChange>
      </w:tblGrid>
      <w:tr>
        <w:trPr>
          <w:cantSplit w:val="0"/>
          <w:trHeight w:val="1417" w:hRule="atLeast"/>
          <w:tblHeader w:val="0"/>
        </w:trPr>
        <w:tc>
          <w:tcPr>
            <w:vAlign w:val="center"/>
          </w:tcPr>
          <w:p w:rsidR="00000000" w:rsidDel="00000000" w:rsidP="00000000" w:rsidRDefault="00000000" w:rsidRPr="00000000" w14:paraId="00000065">
            <w:pPr>
              <w:jc w:val="center"/>
              <w:rPr/>
            </w:pPr>
            <w:r w:rsidDel="00000000" w:rsidR="00000000" w:rsidRPr="00000000">
              <w:rPr>
                <w:rtl w:val="0"/>
              </w:rPr>
            </w:r>
          </w:p>
        </w:tc>
        <w:tc>
          <w:tcPr>
            <w:vAlign w:val="center"/>
          </w:tcPr>
          <w:p w:rsidR="00000000" w:rsidDel="00000000" w:rsidP="00000000" w:rsidRDefault="00000000" w:rsidRPr="00000000" w14:paraId="00000066">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7">
            <w:pPr>
              <w:jc w:val="center"/>
              <w:rPr>
                <w:b w:val="1"/>
                <w:bCs w:val="1"/>
                <w:sz w:val="24"/>
                <w:szCs w:val="24"/>
              </w:rPr>
            </w:pPr>
            <w:r w:rsidDel="00000000" w:rsidR="00000000" w:rsidRPr="00000000">
              <w:rPr>
                <w:b w:val="1"/>
                <w:bCs w:val="1"/>
                <w:sz w:val="24"/>
                <w:szCs w:val="24"/>
                <w:rtl w:val="0"/>
              </w:rPr>
              <w:t xml:space="preserve">Nombre director/a</w:t>
            </w:r>
          </w:p>
          <w:p w:rsidR="00000000" w:rsidDel="00000000" w:rsidP="00000000" w:rsidRDefault="00000000" w:rsidRPr="00000000" w14:paraId="00000068">
            <w:pPr>
              <w:jc w:val="center"/>
              <w:rPr>
                <w:b w:val="1"/>
                <w:bCs w:val="1"/>
                <w:sz w:val="24"/>
                <w:szCs w:val="24"/>
              </w:rPr>
            </w:pPr>
            <w:r w:rsidDel="00000000" w:rsidR="00000000" w:rsidRPr="00000000">
              <w:rPr>
                <w:b w:val="1"/>
                <w:bCs w:val="1"/>
                <w:sz w:val="24"/>
                <w:szCs w:val="24"/>
                <w:rtl w:val="0"/>
              </w:rPr>
              <w:t xml:space="preserve">Director/a Nombre carrera</w:t>
            </w:r>
          </w:p>
        </w:tc>
        <w:tc>
          <w:tcPr>
            <w:vAlign w:val="center"/>
          </w:tcPr>
          <w:p w:rsidR="00000000" w:rsidDel="00000000" w:rsidP="00000000" w:rsidRDefault="00000000" w:rsidRPr="00000000" w14:paraId="00000069">
            <w:pPr>
              <w:jc w:val="center"/>
              <w:rPr>
                <w:b w:val="1"/>
                <w:bCs w:val="1"/>
                <w:sz w:val="24"/>
                <w:szCs w:val="24"/>
              </w:rPr>
            </w:pPr>
            <w:r w:rsidDel="00000000" w:rsidR="00000000" w:rsidRPr="00000000">
              <w:rPr>
                <w:b w:val="1"/>
                <w:bCs w:val="1"/>
                <w:sz w:val="24"/>
                <w:szCs w:val="24"/>
                <w:rtl w:val="0"/>
              </w:rPr>
              <w:t xml:space="preserve">Nombre decano/a</w:t>
            </w:r>
          </w:p>
          <w:p w:rsidR="00000000" w:rsidDel="00000000" w:rsidP="00000000" w:rsidRDefault="00000000" w:rsidRPr="00000000" w14:paraId="0000006A">
            <w:pPr>
              <w:jc w:val="center"/>
              <w:rPr>
                <w:b w:val="1"/>
                <w:bCs w:val="1"/>
                <w:sz w:val="24"/>
                <w:szCs w:val="24"/>
              </w:rPr>
            </w:pPr>
            <w:r w:rsidDel="00000000" w:rsidR="00000000" w:rsidRPr="00000000">
              <w:rPr>
                <w:b w:val="1"/>
                <w:bCs w:val="1"/>
                <w:sz w:val="24"/>
                <w:szCs w:val="24"/>
                <w:rtl w:val="0"/>
              </w:rPr>
              <w:t xml:space="preserve">Decano/a Nombre Facultad</w:t>
            </w:r>
          </w:p>
        </w:tc>
      </w:tr>
    </w:tbl>
    <w:p w:rsidR="00000000" w:rsidDel="00000000" w:rsidP="00000000" w:rsidRDefault="00000000" w:rsidRPr="00000000" w14:paraId="0000006B">
      <w:pPr>
        <w:spacing w:line="240" w:lineRule="auto"/>
        <w:rPr/>
      </w:pPr>
      <w:r w:rsidDel="00000000" w:rsidR="00000000" w:rsidRPr="00000000">
        <w:rPr>
          <w:rtl w:val="0"/>
        </w:rPr>
      </w:r>
    </w:p>
    <w:p w:rsidR="00000000" w:rsidDel="00000000" w:rsidP="00000000" w:rsidRDefault="00000000" w:rsidRPr="00000000" w14:paraId="0000006C">
      <w:pPr>
        <w:spacing w:line="240" w:lineRule="auto"/>
        <w:rPr/>
      </w:pPr>
      <w:r w:rsidDel="00000000" w:rsidR="00000000" w:rsidRPr="00000000">
        <w:rPr>
          <w:rtl w:val="0"/>
        </w:rPr>
      </w:r>
    </w:p>
    <w:sectPr>
      <w:headerReference r:id="rId7" w:type="default"/>
      <w:footerReference r:id="rId8" w:type="default"/>
      <w:pgSz w:h="16838" w:w="11906" w:orient="portrait"/>
      <w:pgMar w:bottom="993" w:top="1276"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ambria Math">
    <w:embedRegular w:fontKey="{00000000-0000-0000-0000-000000000000}" r:id="rId1"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1"/>
        <w:iCs w:val="1"/>
        <w:smallCaps w:val="0"/>
        <w:strike w:val="0"/>
        <w:color w:val="000000"/>
        <w:sz w:val="15"/>
        <w:szCs w:val="15"/>
        <w:u w:val="none"/>
        <w:shd w:fill="auto" w:val="clear"/>
        <w:vertAlign w:val="baseline"/>
      </w:rPr>
    </w:pPr>
    <w:r w:rsidDel="00000000" w:rsidR="00000000" w:rsidRPr="00000000">
      <w:rPr>
        <w:rFonts w:ascii="Avenir" w:cs="Avenir" w:eastAsia="Avenir" w:hAnsi="Avenir"/>
        <w:b w:val="1"/>
        <w:bCs w:val="1"/>
        <w:i w:val="0"/>
        <w:iCs w:val="0"/>
        <w:smallCaps w:val="0"/>
        <w:strike w:val="0"/>
        <w:color w:val="000000"/>
        <w:sz w:val="15"/>
        <w:szCs w:val="15"/>
        <w:u w:val="none"/>
        <w:shd w:fill="auto" w:val="clear"/>
        <w:vertAlign w:val="baseline"/>
        <w:rtl w:val="0"/>
      </w:rPr>
      <w:t xml:space="preserve">Código del formato:</w:t>
    </w:r>
    <w:r w:rsidDel="00000000" w:rsidR="00000000" w:rsidRPr="00000000">
      <w:rPr>
        <w:rFonts w:ascii="Avenir" w:cs="Avenir" w:eastAsia="Avenir" w:hAnsi="Avenir"/>
        <w:b w:val="0"/>
        <w:bCs w:val="0"/>
        <w:i w:val="0"/>
        <w:iCs w:val="0"/>
        <w:smallCaps w:val="0"/>
        <w:strike w:val="0"/>
        <w:color w:val="000000"/>
        <w:sz w:val="15"/>
        <w:szCs w:val="15"/>
        <w:u w:val="none"/>
        <w:shd w:fill="auto" w:val="clear"/>
        <w:vertAlign w:val="baseline"/>
        <w:rtl w:val="0"/>
      </w:rPr>
      <w:t xml:space="preserve"> </w:t>
    </w:r>
    <w:r w:rsidDel="00000000" w:rsidR="00000000" w:rsidRPr="00000000">
      <w:rPr>
        <w:rFonts w:ascii="Avenir" w:cs="Avenir" w:eastAsia="Avenir" w:hAnsi="Avenir"/>
        <w:b w:val="0"/>
        <w:bCs w:val="0"/>
        <w:i w:val="1"/>
        <w:iCs w:val="1"/>
        <w:smallCaps w:val="0"/>
        <w:strike w:val="0"/>
        <w:color w:val="000000"/>
        <w:sz w:val="15"/>
        <w:szCs w:val="15"/>
        <w:u w:val="none"/>
        <w:shd w:fill="auto" w:val="clear"/>
        <w:vertAlign w:val="baseline"/>
        <w:rtl w:val="0"/>
      </w:rPr>
      <w:t xml:space="preserve">FR0</w:t>
    </w:r>
    <w:r w:rsidDel="00000000" w:rsidR="00000000" w:rsidRPr="00000000">
      <w:rPr>
        <w:rFonts w:ascii="Avenir" w:cs="Avenir" w:eastAsia="Avenir" w:hAnsi="Avenir"/>
        <w:i w:val="1"/>
        <w:iCs w:val="1"/>
        <w:sz w:val="15"/>
        <w:szCs w:val="15"/>
        <w:rtl w:val="0"/>
      </w:rPr>
      <w:t xml:space="preserve">122</w:t>
    </w:r>
    <w:r w:rsidDel="00000000" w:rsidR="00000000" w:rsidRPr="00000000">
      <w:rPr>
        <w:rFonts w:ascii="Avenir" w:cs="Avenir" w:eastAsia="Avenir" w:hAnsi="Avenir"/>
        <w:b w:val="0"/>
        <w:bCs w:val="0"/>
        <w:i w:val="1"/>
        <w:iCs w:val="1"/>
        <w:smallCaps w:val="0"/>
        <w:strike w:val="0"/>
        <w:color w:val="000000"/>
        <w:sz w:val="15"/>
        <w:szCs w:val="15"/>
        <w:u w:val="none"/>
        <w:shd w:fill="auto" w:val="clear"/>
        <w:vertAlign w:val="baseline"/>
        <w:rtl w:val="0"/>
      </w:rPr>
      <w:t xml:space="preserve">/v1.00</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-403859</wp:posOffset>
          </wp:positionH>
          <wp:positionV relativeFrom="paragraph">
            <wp:posOffset>-281939</wp:posOffset>
          </wp:positionV>
          <wp:extent cx="1584960" cy="60461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84960" cy="60461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naAtCW55a/a98gfIgTAguaK4w==">CgMxLjAyDmguemVyMnk2MWh1MGFhOAByITFSdko3NlFzM2dkRjhPMWY4WXFvd3dkZzFnVV83Nm03dw==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